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План управления рисками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СОГЛАСОВАНО:</w:t>
            </w:r>
          </w:p>
        </w:tc>
        <w:tc>
          <w:tcPr>
            <w:tcW w:w="0" w:type="auto"/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УТВЕРЖДАЮ: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Руководитель структурного подразделения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Руководитель организации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Ф.И.О.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Ф.И.О.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09.03.2022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09.03.2022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План управления рисками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 подразделения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 п/п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Номер опасности по перечню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опасности по перечню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Значимость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(категория)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риска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Содержание мероприятий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Источник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финансирования мероприятий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Срок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выполнения мероприятий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Должность, ФИО,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ответственного лица за выполнение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мероприятий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Отметка о выполнении мероприятий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Должность,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ФИО,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 специалиста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ООТ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Примечание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09.03.2022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09.03.2022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Руководитель подразделения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И.О. Фамилия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sectPr>
      <w:pgSz w:w="16839" w:h="11907" w:orient="landscape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230ae1eeaa4f4e36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